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Strategic Vision &amp; GTM</w:t>
            </w:r>
          </w:p>
        </w:tc>
        <w:tc>
          <w:p>
            <w:r>
              <w:t>1-2: No coherent marketing strategy; reacts to short-term demands without plans.
3: Defines a clear 12–18 month marketing strategy aligned to company goals and segments.
4: Builds multi-year GTM plans with milestones, resource allocation, and scenario planning.
5: Anticipates market shifts, creates category-defining strategy, and drives long-term differentiation.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Brand &amp; Positioning</w:t>
            </w:r>
          </w:p>
        </w:tc>
        <w:tc>
          <w:p>
            <w:r>
              <w:t>1-2: Messaging is inconsistent or lacks differentiation; brand activities are sporadic.
3: Establishes clear positioning and core messages applied across channels.
4: Creates differentiated brand identity with measurable awareness and perception goals.
5: Leads brand repositioning that opens new segments or significantly improves market perception.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Demand Generation &amp; Growth</w:t>
            </w:r>
          </w:p>
        </w:tc>
        <w:tc>
          <w:p>
            <w:r>
              <w:t>1-2: No scalable lead-generation programs; relies on ad hoc channels or tactics.
3: Runs repeatable campaigns that deliver pipeline and meet CAC targets.
4: Optimizes the full funnel to improve conversion rates and lower CAC.
5: Designs scalable growth engines that sustainably accelerate ARR and improve LTV/CAC.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Data, Analytics &amp; ROI</w:t>
            </w:r>
          </w:p>
        </w:tc>
        <w:tc>
          <w:p>
            <w:r>
              <w:t>1-2: Decision-making without metrics; lacks measurement framework or attribution.
3: Uses core metrics (CAC, LTV, conversion rates) to inform investments and campaigns.
4: Implements dashboards, experiments, and budget optimization loops to improve ROI.
5: Builds advanced attribution and predictive models to drive forward-looking investment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Customer Insight</w:t>
            </w:r>
          </w:p>
        </w:tc>
        <w:tc>
          <w:p>
            <w:r>
              <w:t>1-2: Limited customer understanding; marketing operates disconnected from product and customers.
3: Regularly surfaces customer insights that inform messaging and roadmap decisions.
4: Leads cross-functional research programs to improve product-market fit and retention.
5: Shapes product strategy using deep segmentation and outcome-driven customer evidence.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Talent Development</w:t>
            </w:r>
          </w:p>
        </w:tc>
        <w:tc>
          <w:p>
            <w:r>
              <w:t>1-2: Weak org structure or high turnover; little evidence of hiring or development plans.
3: Builds and develops a competent marketing team with clear roles and KPIs.
4: Scales the org, mentors leaders, and establishes career paths and performance processes.
5: Attracts top talent, builds a high-performing leadership bench, and executes succession planning.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 &amp; Board Relations</w:t>
            </w:r>
          </w:p>
        </w:tc>
        <w:tc>
          <w:p>
            <w:r>
              <w:t>1-2: Fails to align or inform executives; surprises leadership with results or spend.
3: Communicates results and plans clearly and aligns with executive priorities.
4: Influences C-suite decisions using data-backed narratives and trade-off analyses.
5: Partners with CEO and board to set company strategy and secures necessary investment.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2025-09-17T06:54:43Z</dcterms:created>
  <dc:creator>Apache POI</dc:creator>
</cp:coreProperties>
</file>