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Strategy &amp; Architecture</w:t>
            </w:r>
          </w:p>
        </w:tc>
        <w:tc>
          <w:p>
            <w:r>
              <w:t>1-2: Cannot explain system trade-offs or leaves major technical risks unaddressed.
3: Chooses pragmatic architectures that meet current scale and business needs.
4: Defines multi-year architecture, anticipates scaling and technical debt.
5: Sets technical vision that shapes product roadmap and reduces long-term risk.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major milestones and lacks basic delivery tracking or risk mitigation.
3: Delivers reliably with clear milestones and manages foreseeable risks.
4: Improves cross-team delivery predictability and reduces cycle time.
5: Drives organization-wide predictable delivery with measurable throughput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Leadership &amp; Development</w:t>
            </w:r>
          </w:p>
        </w:tc>
        <w:tc>
          <w:p>
            <w:r>
              <w:t>1-2: Avoids difficult feedback, resulting in low manager performance or attrition.
3: Coaches managers, conducts performance reviews, and develops talent plans.
4: Builds leadership bench, reduces churn, and elevates engineering managers.
5: Creates scalable development programs and consistently promotes leaders internally.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Fails to align engineering with product or business stakeholders; causes repeated conflicts.
3: Communicates clearly with PM and business partners and aligns on priorities.
4: Builds strong partnerships, resolves conflicts, and drives joint outcomes.
5: Represents engineering at executive levels and shapes cross-functional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Organization Design</w:t>
            </w:r>
          </w:p>
        </w:tc>
        <w:tc>
          <w:p>
            <w:r>
              <w:t>1-2: Hiring is ad hoc with unclear roles and poor interview rigor.
3: Defines roles, improves interview process, and fills key gaps.
4: Designs organization structure and reduces time-to-hire for critical roles.
5: Builds scalable hiring processes and clear leveling that support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Excellence &amp; Reliability</w:t>
            </w:r>
          </w:p>
        </w:tc>
        <w:tc>
          <w:p>
            <w:r>
              <w:t>1-2: Frequent outages, no incident or runbook practices, and high MTTR.
3: Implements incident response, SLAs, and reduces common outages.
4: Introduces SRE practices, monitoring, and measurable MTTR improvement.
5: Drives measurable availability, performance, and cost efficiencies across services.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Financial &amp; Resource Management</w:t>
            </w:r>
          </w:p>
        </w:tc>
        <w:tc>
          <w:p>
            <w:r>
              <w:t>1-2: Loses sight of budget, overcommits resources, or lacks prioritization discipline.
3: Manages budget, makes trade-offs, and prioritizes investments tied to outcomes.
4: Optimizes resource allocation and links spending to measurable KPIs.
5: Shapes investment strategy, demonstrates ROI, and reallocates capital for growth.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2025-09-17T06:34:53Z</dcterms:created>
  <dc:creator>Apache POI</dc:creator>
</cp:coreProperties>
</file>