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Frontend Technical Skills</w:t>
            </w:r>
          </w:p>
        </w:tc>
        <w:tc>
          <w:p>
            <w:r>
              <w:t>1-2: Struggles to implement basic React/JS features; frequent syntax or API misunderstandings.
3: Implements components and state with common patterns and few bugs.
4: Delivers reusable, well-structured components and leverages advanced framework features.
5: Designs complex client-side architectures and introduces patterns that increase team velocity.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Architecture &amp; System Design</w:t>
            </w:r>
          </w:p>
        </w:tc>
        <w:tc>
          <w:p>
            <w:r>
              <w:t>1-2: Fails to reason about component boundaries, data flow, or scaling concerns.
3: Designs clear component hierarchies and selects sensible state management.
4: Anticipates scalability and designs modular systems with clear contracts.
5: Defines architecture choices that reduce complexity and technical debt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Writes untested, hard-to-read code with minimal attention to maintainability.
3: Produces readable code with unit tests and follows linters/formatters.
4: Writes comprehensive tests, enforces standards, and performs meaningful code reviews.
5: Establishes testing strategy and improves code quality metrics across the codebase.</w:t>
            </w:r>
          </w:p>
        </w:tc>
        <w:tc>
          <w:p>
            <w:r>
              <w:t/>
            </w:r>
          </w:p>
        </w:tc>
      </w:tr>
      <w:tr>
        <w:tc>
          <w:p>
            <w:r>
              <w:t>Performance &amp; Optimization</w:t>
            </w:r>
          </w:p>
        </w:tc>
        <w:tc>
          <w:p>
            <w:r>
              <w:t>1-2: Unaware of critical performance issues; delivers slow pages or heavy bundles.
3: Identifies and fixes common bottlenecks; uses lazy loading and basic optimizations.
4: Profiles apps, reduces bundle size, and implements caching strategies.
5: Defines performance budgets and drives cross-team optimizations with measurable results.</w:t>
            </w:r>
          </w:p>
        </w:tc>
        <w:tc>
          <w:p>
            <w:r>
              <w:t/>
            </w:r>
          </w:p>
        </w:tc>
      </w:tr>
      <w:tr>
        <w:tc>
          <w:p>
            <w:r>
              <w:t>UX &amp; Accessibility</w:t>
            </w:r>
          </w:p>
        </w:tc>
        <w:tc>
          <w:p>
            <w:r>
              <w:t>1-2: Ignores accessibility and usability; components fail keyboard or screen reader checks.
3: Implements basic ARIA, semantic HTML, and responsive layouts.
4: Designs accessible interactions, conducts usability checks, and iterates on feedback.
5: Champions accessibility standards and integrates accessibility into development process.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Poor communicator; unclear PRs and resists feedback; blocks others.
3: Communicates clearly in PRs, participates in standups, and responds to feedback.
4: Facilitates cross-discipline discussions and aligns stakeholders on tradeoffs.
5: Drives technical discussions, mentors others through feedback, and resolves conflicts.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Mentorship &amp; Ownership</w:t>
            </w:r>
          </w:p>
        </w:tc>
        <w:tc>
          <w:p>
            <w:r>
              <w:t>1-2: Avoids ownership; does not mentor juniors or follow through on tasks.
3: Takes ownership of features and gives constructive feedback to peers.
4: Mentors teammates, improves team processes, and reliably delivers complex projects.
5: Shapes hiring, onboarding, and long-term frontend strategy; grows others into senior roles.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2025-09-17T06:44:17Z</dcterms:created>
  <dc:creator>Apache POI</dc:creator>
</cp:coreProperties>
</file>